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F" w:rsidRDefault="008B059E" w:rsidP="0096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59E">
        <w:rPr>
          <w:rFonts w:ascii="Times New Roman" w:hAnsi="Times New Roman" w:cs="Times New Roman"/>
          <w:b/>
          <w:sz w:val="26"/>
          <w:szCs w:val="26"/>
        </w:rPr>
        <w:t xml:space="preserve">Рейтинг муниципальных районов и городских округов Белгородской области </w:t>
      </w:r>
      <w:r w:rsidR="00965C6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65C68" w:rsidRPr="00965C68">
        <w:rPr>
          <w:rFonts w:ascii="Times New Roman" w:hAnsi="Times New Roman" w:cs="Times New Roman"/>
          <w:b/>
          <w:sz w:val="26"/>
          <w:szCs w:val="26"/>
        </w:rPr>
        <w:t>показател</w:t>
      </w:r>
      <w:r w:rsidR="00965C68">
        <w:rPr>
          <w:rFonts w:ascii="Times New Roman" w:hAnsi="Times New Roman" w:cs="Times New Roman"/>
          <w:b/>
          <w:sz w:val="26"/>
          <w:szCs w:val="26"/>
        </w:rPr>
        <w:t>ю</w:t>
      </w:r>
      <w:r w:rsidR="00965C68" w:rsidRPr="00965C68">
        <w:rPr>
          <w:rFonts w:ascii="Times New Roman" w:hAnsi="Times New Roman" w:cs="Times New Roman"/>
          <w:b/>
          <w:sz w:val="26"/>
          <w:szCs w:val="26"/>
        </w:rPr>
        <w:t xml:space="preserve"> «Содействие развитию конкуренции»</w:t>
      </w:r>
      <w:r w:rsidR="00F66537">
        <w:rPr>
          <w:rFonts w:ascii="Times New Roman" w:hAnsi="Times New Roman" w:cs="Times New Roman"/>
          <w:b/>
          <w:sz w:val="26"/>
          <w:szCs w:val="26"/>
        </w:rPr>
        <w:t xml:space="preserve"> по итогам 2016 года</w:t>
      </w:r>
      <w:r w:rsidR="007B73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1DF9" w:rsidRDefault="007B733F" w:rsidP="00965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 сайта Департамента экономического развития Белгородской области </w:t>
      </w:r>
      <w:r w:rsidRPr="007B733F">
        <w:rPr>
          <w:rFonts w:ascii="Times New Roman" w:hAnsi="Times New Roman" w:cs="Times New Roman"/>
          <w:b/>
          <w:sz w:val="26"/>
          <w:szCs w:val="26"/>
        </w:rPr>
        <w:t>http://www.derbo.ru/other/razvitie-konkurenczii/inf-vned-st-razv-konk-v-sub-rf/mon-sost-razv-kokur-sr/mon-sost-razv-kokur-sr-2016/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:rsidR="008B059E" w:rsidRPr="008B059E" w:rsidRDefault="008B059E" w:rsidP="008B05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59E" w:rsidRPr="008B059E" w:rsidRDefault="008B059E" w:rsidP="008B059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B0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868851" wp14:editId="612860B1">
            <wp:extent cx="7143750" cy="6457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059E" w:rsidRPr="008B059E" w:rsidRDefault="008B059E" w:rsidP="008B059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66537" w:rsidRDefault="00F66537" w:rsidP="00F6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Рейтинг сформирован в целях исполнения подпункта е) пункта 9 </w:t>
      </w:r>
      <w:r w:rsidRPr="00F66537">
        <w:rPr>
          <w:rFonts w:ascii="Times New Roman" w:hAnsi="Times New Roman" w:cs="Times New Roman"/>
          <w:sz w:val="26"/>
          <w:szCs w:val="26"/>
        </w:rPr>
        <w:t>Стандарт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6537">
        <w:rPr>
          <w:rFonts w:ascii="Times New Roman" w:hAnsi="Times New Roman" w:cs="Times New Roman"/>
          <w:sz w:val="26"/>
          <w:szCs w:val="26"/>
        </w:rPr>
        <w:t xml:space="preserve"> развития конкуренции в субъектах Российской Федерации, утвержден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F66537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5 сентября 2015 года №1738-р</w:t>
      </w:r>
      <w:r>
        <w:rPr>
          <w:rFonts w:ascii="Times New Roman" w:hAnsi="Times New Roman" w:cs="Times New Roman"/>
          <w:sz w:val="26"/>
          <w:szCs w:val="26"/>
        </w:rPr>
        <w:t xml:space="preserve"> согласно методики </w:t>
      </w:r>
      <w:r w:rsidRPr="00F66537">
        <w:rPr>
          <w:rFonts w:ascii="Times New Roman" w:hAnsi="Times New Roman" w:cs="Times New Roman"/>
          <w:sz w:val="26"/>
          <w:szCs w:val="26"/>
        </w:rPr>
        <w:t>формирования рейтинга муниципальных районов и городских округов области в части их деятельности по содействию развитию конкуренции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департамента экономического развития области от 14 февраля 2017 года № 75-пр.</w:t>
      </w:r>
      <w:proofErr w:type="gramEnd"/>
    </w:p>
    <w:p w:rsidR="008B059E" w:rsidRPr="008B059E" w:rsidRDefault="00965C68" w:rsidP="0096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Итоговые значения набранных баллов</w:t>
      </w:r>
      <w:r w:rsidR="00F66537">
        <w:rPr>
          <w:rFonts w:ascii="Times New Roman" w:hAnsi="Times New Roman" w:cs="Times New Roman"/>
          <w:sz w:val="26"/>
          <w:szCs w:val="26"/>
        </w:rPr>
        <w:t xml:space="preserve"> подлежат включению в </w:t>
      </w:r>
      <w:r>
        <w:rPr>
          <w:rFonts w:ascii="Times New Roman" w:hAnsi="Times New Roman" w:cs="Times New Roman"/>
          <w:sz w:val="26"/>
          <w:szCs w:val="26"/>
        </w:rPr>
        <w:t>региональный мониторинг и оценку</w:t>
      </w:r>
      <w:r w:rsidR="00F66537" w:rsidRPr="008B059E">
        <w:rPr>
          <w:rFonts w:ascii="Times New Roman" w:hAnsi="Times New Roman" w:cs="Times New Roman"/>
          <w:sz w:val="26"/>
          <w:szCs w:val="26"/>
        </w:rPr>
        <w:t xml:space="preserve"> достигнутых значений показателей работы органов местного самоуправления муниципальных районов и городских округов, городских и сельских поселений, органов управления сельских территорий </w:t>
      </w:r>
      <w:proofErr w:type="spellStart"/>
      <w:r w:rsidR="00F66537" w:rsidRPr="008B059E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F66537" w:rsidRPr="008B059E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F66537" w:rsidRPr="008B059E">
        <w:rPr>
          <w:rFonts w:ascii="Times New Roman" w:hAnsi="Times New Roman" w:cs="Times New Roman"/>
          <w:sz w:val="26"/>
          <w:szCs w:val="26"/>
        </w:rPr>
        <w:lastRenderedPageBreak/>
        <w:t xml:space="preserve">округа и территориальных администраций </w:t>
      </w:r>
      <w:proofErr w:type="spellStart"/>
      <w:r w:rsidR="00F66537" w:rsidRPr="008B059E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="00F66537" w:rsidRPr="008B059E">
        <w:rPr>
          <w:rFonts w:ascii="Times New Roman" w:hAnsi="Times New Roman" w:cs="Times New Roman"/>
          <w:sz w:val="26"/>
          <w:szCs w:val="26"/>
        </w:rPr>
        <w:t xml:space="preserve"> городского округа по основным социально-экономическим направлениям деятельности</w:t>
      </w:r>
      <w:r>
        <w:rPr>
          <w:rFonts w:ascii="Times New Roman" w:hAnsi="Times New Roman" w:cs="Times New Roman"/>
          <w:sz w:val="26"/>
          <w:szCs w:val="26"/>
        </w:rPr>
        <w:t>, утверждённый</w:t>
      </w:r>
      <w:r w:rsidR="008B059E" w:rsidRPr="008B059E">
        <w:rPr>
          <w:rFonts w:ascii="Times New Roman" w:hAnsi="Times New Roman" w:cs="Times New Roman"/>
          <w:sz w:val="26"/>
          <w:szCs w:val="26"/>
        </w:rPr>
        <w:t xml:space="preserve"> Постановлением Губернатора облас</w:t>
      </w:r>
      <w:r>
        <w:rPr>
          <w:rFonts w:ascii="Times New Roman" w:hAnsi="Times New Roman" w:cs="Times New Roman"/>
          <w:sz w:val="26"/>
          <w:szCs w:val="26"/>
        </w:rPr>
        <w:t>ти от 23 ноября 2015 года № 122.</w:t>
      </w:r>
      <w:proofErr w:type="gramEnd"/>
    </w:p>
    <w:sectPr w:rsidR="008B059E" w:rsidRPr="008B059E" w:rsidSect="008B05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E3"/>
    <w:rsid w:val="00186A36"/>
    <w:rsid w:val="00294DE3"/>
    <w:rsid w:val="00367ECE"/>
    <w:rsid w:val="00752F5D"/>
    <w:rsid w:val="007B733F"/>
    <w:rsid w:val="0083023B"/>
    <w:rsid w:val="008B059E"/>
    <w:rsid w:val="00907773"/>
    <w:rsid w:val="00965C68"/>
    <w:rsid w:val="00AA1DF9"/>
    <w:rsid w:val="00F37EDA"/>
    <w:rsid w:val="00F66537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4403660127072249"/>
          <c:y val="6.9073503097604218E-3"/>
          <c:w val="0.449965393415792"/>
          <c:h val="0.990350188527319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FF9933"/>
                </a:gs>
                <a:gs pos="100000">
                  <a:srgbClr val="FFE2C5"/>
                </a:gs>
              </a:gsLst>
              <a:path path="circle">
                <a:fillToRect r="100000" b="100000"/>
              </a:path>
              <a:tileRect l="-100000" t="-100000"/>
            </a:gradFill>
            <a:ln w="19050">
              <a:solidFill>
                <a:schemeClr val="bg1">
                  <a:lumMod val="6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Алексеевский район и город Алексеевка</c:v>
                </c:pt>
                <c:pt idx="1">
                  <c:v>Город Валуйки и Валуйский район</c:v>
                </c:pt>
                <c:pt idx="2">
                  <c:v>Красненский район</c:v>
                </c:pt>
                <c:pt idx="3">
                  <c:v>Новооскольский район</c:v>
                </c:pt>
                <c:pt idx="4">
                  <c:v>Ровеньской район</c:v>
                </c:pt>
                <c:pt idx="5">
                  <c:v>Чернянский район</c:v>
                </c:pt>
                <c:pt idx="6">
                  <c:v>Красногвардейский район</c:v>
                </c:pt>
                <c:pt idx="7">
                  <c:v>Город Белгород</c:v>
                </c:pt>
                <c:pt idx="8">
                  <c:v>Волоконовский район</c:v>
                </c:pt>
                <c:pt idx="9">
                  <c:v>Грайворонский район</c:v>
                </c:pt>
                <c:pt idx="10">
                  <c:v>Яковлевский район</c:v>
                </c:pt>
                <c:pt idx="11">
                  <c:v>Белгородский район</c:v>
                </c:pt>
                <c:pt idx="12">
                  <c:v>Прохоровский район</c:v>
                </c:pt>
                <c:pt idx="13">
                  <c:v>Вейделевский Район</c:v>
                </c:pt>
                <c:pt idx="14">
                  <c:v>Губкинский городской округ </c:v>
                </c:pt>
                <c:pt idx="15">
                  <c:v>Ивнянский район</c:v>
                </c:pt>
                <c:pt idx="16">
                  <c:v>Ракитянский район</c:v>
                </c:pt>
                <c:pt idx="17">
                  <c:v>Корочанский район</c:v>
                </c:pt>
                <c:pt idx="18">
                  <c:v>Шебекинский район и город Шебекино</c:v>
                </c:pt>
                <c:pt idx="19">
                  <c:v>Борисовский район</c:v>
                </c:pt>
                <c:pt idx="20">
                  <c:v>Старооскольский городской округ</c:v>
                </c:pt>
                <c:pt idx="21">
                  <c:v>Краснояружский район</c:v>
                </c:pt>
              </c:strCache>
            </c:strRef>
          </c:cat>
          <c:val>
            <c:numRef>
              <c:f>Лист1!$B$2:$B$23</c:f>
              <c:numCache>
                <c:formatCode>0</c:formatCode>
                <c:ptCount val="2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 formatCode="0.00">
                  <c:v>9.59</c:v>
                </c:pt>
                <c:pt idx="7" formatCode="0.00">
                  <c:v>9.59</c:v>
                </c:pt>
                <c:pt idx="8" formatCode="0.00">
                  <c:v>9.59</c:v>
                </c:pt>
                <c:pt idx="9" formatCode="0.00">
                  <c:v>9.59</c:v>
                </c:pt>
                <c:pt idx="10" formatCode="0.00">
                  <c:v>9.59</c:v>
                </c:pt>
                <c:pt idx="11" formatCode="0.00">
                  <c:v>9.59</c:v>
                </c:pt>
                <c:pt idx="12" formatCode="0.00">
                  <c:v>9.52</c:v>
                </c:pt>
                <c:pt idx="13" formatCode="0.00">
                  <c:v>9.1999999999999993</c:v>
                </c:pt>
                <c:pt idx="14" formatCode="0.00">
                  <c:v>9.1999999999999993</c:v>
                </c:pt>
                <c:pt idx="15" formatCode="0.00">
                  <c:v>9.1999999999999993</c:v>
                </c:pt>
                <c:pt idx="16" formatCode="0.00">
                  <c:v>9.1999999999999993</c:v>
                </c:pt>
                <c:pt idx="17" formatCode="0.00">
                  <c:v>8.8000000000000007</c:v>
                </c:pt>
                <c:pt idx="18" formatCode="0.00">
                  <c:v>8.6</c:v>
                </c:pt>
                <c:pt idx="19" formatCode="0.00">
                  <c:v>7.8</c:v>
                </c:pt>
                <c:pt idx="20" formatCode="0.00">
                  <c:v>7.8</c:v>
                </c:pt>
                <c:pt idx="21" formatCode="0.00">
                  <c:v>6.92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07047168"/>
        <c:axId val="116948992"/>
      </c:barChart>
      <c:catAx>
        <c:axId val="1070471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just">
              <a:defRPr sz="13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48992"/>
        <c:crosses val="autoZero"/>
        <c:auto val="1"/>
        <c:lblAlgn val="ctr"/>
        <c:lblOffset val="100"/>
        <c:tickMarkSkip val="1"/>
        <c:noMultiLvlLbl val="0"/>
      </c:catAx>
      <c:valAx>
        <c:axId val="116948992"/>
        <c:scaling>
          <c:orientation val="minMax"/>
          <c:min val="6"/>
        </c:scaling>
        <c:delete val="1"/>
        <c:axPos val="t"/>
        <c:numFmt formatCode="0" sourceLinked="0"/>
        <c:majorTickMark val="out"/>
        <c:minorTickMark val="none"/>
        <c:tickLblPos val="nextTo"/>
        <c:crossAx val="10704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Елена Владимировна</dc:creator>
  <cp:lastModifiedBy>Сотникова Ольга Владимировна</cp:lastModifiedBy>
  <cp:revision>5</cp:revision>
  <cp:lastPrinted>2017-03-10T14:46:00Z</cp:lastPrinted>
  <dcterms:created xsi:type="dcterms:W3CDTF">2017-03-13T12:28:00Z</dcterms:created>
  <dcterms:modified xsi:type="dcterms:W3CDTF">2017-03-20T09:31:00Z</dcterms:modified>
</cp:coreProperties>
</file>